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EC" w:rsidRDefault="00DF55EC" w:rsidP="00DF55EC">
      <w:pPr>
        <w:shd w:val="clear" w:color="auto" w:fill="FFFFFF"/>
        <w:spacing w:before="100" w:beforeAutospacing="1" w:after="100" w:afterAutospacing="1"/>
        <w:jc w:val="center"/>
      </w:pPr>
      <w: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DF55EC" w:rsidTr="00DF55EC">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F55EC">
              <w:trPr>
                <w:tblCellSpacing w:w="0" w:type="dxa"/>
                <w:jc w:val="center"/>
              </w:trPr>
              <w:tc>
                <w:tcPr>
                  <w:tcW w:w="5000" w:type="pct"/>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970"/>
                  </w:tblGrid>
                  <w:tr w:rsidR="00DF55EC" w:rsidRPr="00DF55EC">
                    <w:trPr>
                      <w:tblCellSpacing w:w="0" w:type="dxa"/>
                    </w:trPr>
                    <w:tc>
                      <w:tcPr>
                        <w:tcW w:w="0" w:type="auto"/>
                        <w:tcMar>
                          <w:top w:w="75" w:type="dxa"/>
                          <w:left w:w="75" w:type="dxa"/>
                          <w:bottom w:w="75" w:type="dxa"/>
                          <w:right w:w="75" w:type="dxa"/>
                        </w:tcMar>
                        <w:vAlign w:val="center"/>
                        <w:hideMark/>
                      </w:tcPr>
                      <w:p w:rsidR="00DF55EC" w:rsidRPr="0040417E" w:rsidRDefault="00DF55EC">
                        <w:pPr>
                          <w:pStyle w:val="NormalWeb"/>
                          <w:spacing w:before="0" w:beforeAutospacing="0" w:after="0" w:afterAutospacing="0"/>
                          <w:jc w:val="center"/>
                          <w:rPr>
                            <w:b/>
                            <w:color w:val="548DD4" w:themeColor="text2" w:themeTint="99"/>
                          </w:rPr>
                        </w:pPr>
                        <w:r w:rsidRPr="0040417E">
                          <w:rPr>
                            <w:rFonts w:ascii="Arial" w:hAnsi="Arial" w:cs="Arial"/>
                            <w:b/>
                            <w:color w:val="548DD4" w:themeColor="text2" w:themeTint="99"/>
                            <w:sz w:val="36"/>
                            <w:szCs w:val="36"/>
                          </w:rPr>
                          <w:t>Come Register, Recycle and Win with Al the Can</w:t>
                        </w:r>
                      </w:p>
                      <w:p w:rsidR="00DF55EC" w:rsidRPr="00DF55EC" w:rsidRDefault="00DF55EC">
                        <w:pPr>
                          <w:pStyle w:val="NormalWeb"/>
                          <w:spacing w:before="0" w:beforeAutospacing="0" w:after="0" w:afterAutospacing="0"/>
                        </w:pPr>
                        <w:r w:rsidRPr="00DF55EC">
                          <w:rPr>
                            <w:rFonts w:ascii="Arial" w:hAnsi="Arial" w:cs="Arial"/>
                            <w:sz w:val="36"/>
                            <w:szCs w:val="36"/>
                          </w:rPr>
                          <w:t> </w:t>
                        </w:r>
                      </w:p>
                      <w:p w:rsidR="00DF55EC" w:rsidRPr="00DF55EC" w:rsidRDefault="00DF55EC">
                        <w:pPr>
                          <w:pStyle w:val="NormalWeb"/>
                          <w:spacing w:before="0" w:beforeAutospacing="0" w:after="0" w:afterAutospacing="0"/>
                        </w:pPr>
                        <w:r w:rsidRPr="00DF55EC">
                          <w:rPr>
                            <w:rFonts w:ascii="Arial" w:hAnsi="Arial" w:cs="Arial"/>
                            <w:sz w:val="22"/>
                            <w:szCs w:val="22"/>
                          </w:rPr>
                          <w:t xml:space="preserve">Al the Can extends an invitation to your school to earn money, recycle and party.  Registration is now open at </w:t>
                        </w:r>
                        <w:hyperlink r:id="rId5" w:tgtFrame="_blank" w:history="1">
                          <w:r w:rsidRPr="00DF55EC">
                            <w:rPr>
                              <w:rStyle w:val="Hyperlink"/>
                              <w:rFonts w:ascii="Arial" w:hAnsi="Arial" w:cs="Arial"/>
                              <w:color w:val="auto"/>
                              <w:sz w:val="22"/>
                              <w:szCs w:val="22"/>
                            </w:rPr>
                            <w:t>www.cancentral.com</w:t>
                          </w:r>
                        </w:hyperlink>
                        <w:r w:rsidRPr="00DF55EC">
                          <w:rPr>
                            <w:rFonts w:ascii="Arial" w:hAnsi="Arial" w:cs="Arial"/>
                            <w:sz w:val="22"/>
                            <w:szCs w:val="22"/>
                          </w:rPr>
                          <w:t>.  We encourage you to challenge your school to see how many beverage cans they can recycle per student between America Recycles Day (November 15) and Earth Day (April 22), 201</w:t>
                        </w:r>
                        <w:r w:rsidR="0040417E">
                          <w:rPr>
                            <w:rFonts w:ascii="Arial" w:hAnsi="Arial" w:cs="Arial"/>
                            <w:sz w:val="22"/>
                            <w:szCs w:val="22"/>
                          </w:rPr>
                          <w:t>4</w:t>
                        </w:r>
                        <w:r w:rsidRPr="00DF55EC">
                          <w:rPr>
                            <w:rFonts w:ascii="Arial" w:hAnsi="Arial" w:cs="Arial"/>
                            <w:sz w:val="22"/>
                            <w:szCs w:val="22"/>
                          </w:rPr>
                          <w:t>.  It's an extraordinary opportunity for schools to show their true green spirit and environmental leadership by stepping up to the Great American Can Roundup School Recycling Challenge.</w:t>
                        </w:r>
                      </w:p>
                      <w:p w:rsidR="00DF55EC" w:rsidRDefault="00DF55EC">
                        <w:pPr>
                          <w:pStyle w:val="NormalWeb"/>
                          <w:spacing w:before="0" w:beforeAutospacing="0" w:after="0" w:afterAutospacing="0"/>
                          <w:rPr>
                            <w:rFonts w:ascii="Arial" w:hAnsi="Arial" w:cs="Arial"/>
                            <w:sz w:val="22"/>
                            <w:szCs w:val="22"/>
                          </w:rPr>
                        </w:pPr>
                        <w:r w:rsidRPr="00DF55EC">
                          <w:rPr>
                            <w:rFonts w:ascii="Arial" w:hAnsi="Arial" w:cs="Arial"/>
                            <w:sz w:val="22"/>
                            <w:szCs w:val="22"/>
                          </w:rPr>
                          <w:t> </w:t>
                        </w:r>
                      </w:p>
                      <w:p w:rsidR="0040417E" w:rsidRPr="0040417E" w:rsidRDefault="0040417E" w:rsidP="0040417E">
                        <w:pPr>
                          <w:pStyle w:val="NormalWeb"/>
                          <w:spacing w:before="0" w:beforeAutospacing="0" w:after="0" w:afterAutospacing="0"/>
                          <w:jc w:val="center"/>
                          <w:rPr>
                            <w:rFonts w:ascii="Arial" w:hAnsi="Arial" w:cs="Arial"/>
                            <w:sz w:val="28"/>
                            <w:szCs w:val="28"/>
                          </w:rPr>
                        </w:pPr>
                        <w:r w:rsidRPr="0040417E">
                          <w:rPr>
                            <w:rFonts w:ascii="Arial" w:hAnsi="Arial" w:cs="Arial"/>
                            <w:color w:val="FF0000"/>
                            <w:sz w:val="28"/>
                            <w:szCs w:val="28"/>
                          </w:rPr>
                          <w:t>Your school could win up to $6,000, plus the value of the cans</w:t>
                        </w:r>
                        <w:r>
                          <w:rPr>
                            <w:rFonts w:ascii="Arial" w:hAnsi="Arial" w:cs="Arial"/>
                            <w:color w:val="FF0000"/>
                            <w:sz w:val="28"/>
                            <w:szCs w:val="28"/>
                          </w:rPr>
                          <w:t>!</w:t>
                        </w:r>
                      </w:p>
                      <w:p w:rsidR="0040417E" w:rsidRPr="00DF55EC" w:rsidRDefault="0040417E">
                        <w:pPr>
                          <w:pStyle w:val="NormalWeb"/>
                          <w:spacing w:before="0" w:beforeAutospacing="0" w:after="0" w:afterAutospacing="0"/>
                        </w:pPr>
                      </w:p>
                      <w:p w:rsidR="00DF55EC" w:rsidRPr="00DF55EC" w:rsidRDefault="00DF55EC">
                        <w:pPr>
                          <w:pStyle w:val="NormalWeb"/>
                          <w:spacing w:before="0" w:beforeAutospacing="0" w:after="0" w:afterAutospacing="0"/>
                        </w:pPr>
                        <w:r w:rsidRPr="00DF55EC">
                          <w:rPr>
                            <w:rFonts w:ascii="Arial" w:hAnsi="Arial" w:cs="Arial"/>
                            <w:sz w:val="22"/>
                            <w:szCs w:val="22"/>
                          </w:rPr>
                          <w:t xml:space="preserve">The Can Manufacturers Institute, the national trade association of can manufacturers and their suppliers, is giving away a $1,000 per state to the top per capita school and an additional $5,000 to the top recycling school for a total of $56,000.  Put your school in contention by going to </w:t>
                        </w:r>
                        <w:hyperlink r:id="rId6" w:tgtFrame="_blank" w:history="1">
                          <w:r w:rsidRPr="00DF55EC">
                            <w:rPr>
                              <w:rStyle w:val="Hyperlink"/>
                              <w:rFonts w:ascii="Arial" w:hAnsi="Arial" w:cs="Arial"/>
                              <w:color w:val="auto"/>
                              <w:sz w:val="22"/>
                              <w:szCs w:val="22"/>
                            </w:rPr>
                            <w:t>www.cancentral.com/RoundUp</w:t>
                          </w:r>
                        </w:hyperlink>
                        <w:r w:rsidRPr="00DF55EC">
                          <w:rPr>
                            <w:rFonts w:ascii="Arial" w:hAnsi="Arial" w:cs="Arial"/>
                            <w:sz w:val="22"/>
                            <w:szCs w:val="22"/>
                          </w:rPr>
                          <w:t xml:space="preserve"> and register by December 15 to be eligible for the School Recycling Challenge.  There you will find everything needed to build recycling enthusiasm and rally the community for the win.  </w:t>
                        </w:r>
                      </w:p>
                      <w:p w:rsidR="00DF55EC" w:rsidRPr="00DF55EC" w:rsidRDefault="00DF55EC">
                        <w:pPr>
                          <w:pStyle w:val="NormalWeb"/>
                          <w:spacing w:before="0" w:beforeAutospacing="0" w:after="0" w:afterAutospacing="0"/>
                          <w:jc w:val="center"/>
                        </w:pPr>
                        <w:r w:rsidRPr="00DF55EC">
                          <w:rPr>
                            <w:rFonts w:ascii="Arial" w:hAnsi="Arial" w:cs="Arial"/>
                            <w:sz w:val="36"/>
                            <w:szCs w:val="36"/>
                          </w:rPr>
                          <w:t> </w:t>
                        </w:r>
                      </w:p>
                      <w:p w:rsidR="00DF55EC" w:rsidRPr="00DF55EC" w:rsidRDefault="00DF55EC">
                        <w:pPr>
                          <w:pStyle w:val="NormalWeb"/>
                          <w:spacing w:before="0" w:beforeAutospacing="0" w:after="0" w:afterAutospacing="0"/>
                        </w:pPr>
                        <w:r w:rsidRPr="00DF55EC">
                          <w:rPr>
                            <w:rFonts w:ascii="Arial" w:hAnsi="Arial" w:cs="Arial"/>
                            <w:sz w:val="22"/>
                            <w:szCs w:val="22"/>
                          </w:rPr>
                          <w:t xml:space="preserve">At </w:t>
                        </w:r>
                        <w:hyperlink r:id="rId7" w:tgtFrame="_blank" w:history="1">
                          <w:r w:rsidRPr="00DF55EC">
                            <w:rPr>
                              <w:rStyle w:val="Hyperlink"/>
                              <w:rFonts w:ascii="Arial" w:hAnsi="Arial" w:cs="Arial"/>
                              <w:color w:val="auto"/>
                              <w:sz w:val="22"/>
                              <w:szCs w:val="22"/>
                            </w:rPr>
                            <w:t>www.cancentral.com/RoundUp</w:t>
                          </w:r>
                        </w:hyperlink>
                        <w:r w:rsidRPr="00DF55EC">
                          <w:rPr>
                            <w:rFonts w:ascii="Arial" w:hAnsi="Arial" w:cs="Arial"/>
                            <w:sz w:val="22"/>
                            <w:szCs w:val="22"/>
                          </w:rPr>
                          <w:t xml:space="preserve"> you will be able to compare your school</w:t>
                        </w:r>
                        <w:r w:rsidR="00AB5556">
                          <w:rPr>
                            <w:rFonts w:ascii="Arial" w:hAnsi="Arial" w:cs="Arial"/>
                            <w:sz w:val="22"/>
                            <w:szCs w:val="22"/>
                          </w:rPr>
                          <w:t>’</w:t>
                        </w:r>
                        <w:r w:rsidRPr="00DF55EC">
                          <w:rPr>
                            <w:rFonts w:ascii="Arial" w:hAnsi="Arial" w:cs="Arial"/>
                            <w:sz w:val="22"/>
                            <w:szCs w:val="22"/>
                          </w:rPr>
                          <w:t>s</w:t>
                        </w:r>
                        <w:bookmarkStart w:id="0" w:name="_GoBack"/>
                        <w:bookmarkEnd w:id="0"/>
                        <w:r w:rsidRPr="00DF55EC">
                          <w:rPr>
                            <w:rFonts w:ascii="Arial" w:hAnsi="Arial" w:cs="Arial"/>
                            <w:sz w:val="22"/>
                            <w:szCs w:val="22"/>
                          </w:rPr>
                          <w:t xml:space="preserve"> recycling progress.  Environmental educators will also appreciate grade appropriate, free interdisciplinary curricula and worksheets for the classroom to continue the discussion of the positive impact on the environment through aluminum can </w:t>
                        </w:r>
                        <w:proofErr w:type="gramStart"/>
                        <w:r w:rsidRPr="00DF55EC">
                          <w:rPr>
                            <w:rFonts w:ascii="Arial" w:hAnsi="Arial" w:cs="Arial"/>
                            <w:sz w:val="22"/>
                            <w:szCs w:val="22"/>
                          </w:rPr>
                          <w:t>recycling</w:t>
                        </w:r>
                        <w:proofErr w:type="gramEnd"/>
                        <w:r w:rsidRPr="00DF55EC">
                          <w:rPr>
                            <w:rFonts w:ascii="Arial" w:hAnsi="Arial" w:cs="Arial"/>
                            <w:sz w:val="22"/>
                            <w:szCs w:val="22"/>
                          </w:rPr>
                          <w:t>.</w:t>
                        </w:r>
                      </w:p>
                      <w:p w:rsidR="00DF55EC" w:rsidRPr="00DF55EC" w:rsidRDefault="00DF55EC">
                        <w:pPr>
                          <w:pStyle w:val="NormalWeb"/>
                          <w:spacing w:before="0" w:beforeAutospacing="0" w:after="0" w:afterAutospacing="0"/>
                        </w:pPr>
                        <w:r w:rsidRPr="00DF55EC">
                          <w:rPr>
                            <w:rFonts w:ascii="Arial" w:hAnsi="Arial" w:cs="Arial"/>
                            <w:sz w:val="22"/>
                            <w:szCs w:val="22"/>
                          </w:rPr>
                          <w:t> </w:t>
                        </w:r>
                      </w:p>
                      <w:p w:rsidR="00DF55EC" w:rsidRDefault="00DF55EC" w:rsidP="0040417E">
                        <w:pPr>
                          <w:pStyle w:val="NormalWeb"/>
                          <w:spacing w:before="0" w:beforeAutospacing="0" w:after="0" w:afterAutospacing="0"/>
                          <w:rPr>
                            <w:rFonts w:ascii="Arial" w:hAnsi="Arial" w:cs="Arial"/>
                            <w:sz w:val="22"/>
                            <w:szCs w:val="22"/>
                          </w:rPr>
                        </w:pPr>
                        <w:r w:rsidRPr="00DF55EC">
                          <w:rPr>
                            <w:rFonts w:ascii="Arial" w:hAnsi="Arial" w:cs="Arial"/>
                            <w:sz w:val="22"/>
                            <w:szCs w:val="22"/>
                          </w:rPr>
                          <w:t xml:space="preserve">We look forward to seeing your school on the Great American Can Roundup School Challenge leader board.  </w:t>
                        </w:r>
                      </w:p>
                      <w:p w:rsidR="0040417E" w:rsidRPr="00DF55EC" w:rsidRDefault="0040417E" w:rsidP="0040417E">
                        <w:pPr>
                          <w:pStyle w:val="NormalWeb"/>
                          <w:spacing w:before="0" w:beforeAutospacing="0" w:after="0" w:afterAutospacing="0"/>
                        </w:pPr>
                      </w:p>
                    </w:tc>
                  </w:tr>
                </w:tbl>
                <w:p w:rsidR="00DF55EC" w:rsidRDefault="00DF55EC">
                  <w:pPr>
                    <w:rPr>
                      <w:rFonts w:asciiTheme="minorHAnsi" w:hAnsiTheme="minorHAnsi" w:cstheme="minorBidi"/>
                      <w:sz w:val="22"/>
                      <w:szCs w:val="22"/>
                    </w:rPr>
                  </w:pPr>
                </w:p>
              </w:tc>
            </w:tr>
            <w:tr w:rsidR="00DF55EC">
              <w:trPr>
                <w:tblCellSpacing w:w="0" w:type="dxa"/>
                <w:jc w:val="center"/>
              </w:trPr>
              <w:tc>
                <w:tcPr>
                  <w:tcW w:w="0" w:type="auto"/>
                  <w:shd w:val="clear" w:color="auto" w:fill="000000"/>
                  <w:tcMar>
                    <w:top w:w="15" w:type="dxa"/>
                    <w:left w:w="15" w:type="dxa"/>
                    <w:bottom w:w="15" w:type="dxa"/>
                    <w:right w:w="15" w:type="dxa"/>
                  </w:tcMa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70"/>
                  </w:tblGrid>
                  <w:tr w:rsidR="00DF55EC">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970"/>
                        </w:tblGrid>
                        <w:tr w:rsidR="00DF55EC">
                          <w:trPr>
                            <w:tblCellSpacing w:w="0" w:type="dxa"/>
                          </w:trPr>
                          <w:tc>
                            <w:tcPr>
                              <w:tcW w:w="0" w:type="auto"/>
                              <w:vAlign w:val="center"/>
                              <w:hideMark/>
                            </w:tcPr>
                            <w:p w:rsidR="00DF55EC" w:rsidRDefault="00DF55EC">
                              <w:pPr>
                                <w:pStyle w:val="NormalWeb"/>
                                <w:spacing w:before="0" w:beforeAutospacing="0" w:after="0" w:afterAutospacing="0"/>
                                <w:jc w:val="center"/>
                              </w:pPr>
                              <w:r>
                                <w:rPr>
                                  <w:noProof/>
                                </w:rPr>
                                <w:drawing>
                                  <wp:inline distT="0" distB="0" distL="0" distR="0">
                                    <wp:extent cx="3810000" cy="2857500"/>
                                    <wp:effectExtent l="0" t="0" r="0" b="0"/>
                                    <wp:docPr id="1" name="Picture 1" descr="GA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CR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tc>
                        </w:tr>
                      </w:tbl>
                      <w:p w:rsidR="00DF55EC" w:rsidRDefault="00DF55EC">
                        <w:pPr>
                          <w:rPr>
                            <w:rFonts w:asciiTheme="minorHAnsi" w:hAnsiTheme="minorHAnsi" w:cstheme="minorBidi"/>
                            <w:sz w:val="22"/>
                            <w:szCs w:val="22"/>
                          </w:rPr>
                        </w:pPr>
                      </w:p>
                    </w:tc>
                  </w:tr>
                  <w:tr w:rsidR="00DF55EC">
                    <w:trPr>
                      <w:tblCellSpacing w:w="0" w:type="dxa"/>
                    </w:trPr>
                    <w:tc>
                      <w:tcPr>
                        <w:tcW w:w="5000" w:type="pct"/>
                        <w:shd w:val="clear" w:color="auto" w:fill="FFFFFF"/>
                        <w:tcMar>
                          <w:top w:w="75" w:type="dxa"/>
                          <w:left w:w="75" w:type="dxa"/>
                          <w:bottom w:w="75" w:type="dxa"/>
                          <w:right w:w="75" w:type="dxa"/>
                        </w:tcMar>
                        <w:hideMark/>
                      </w:tcPr>
                      <w:p w:rsidR="00DF55EC" w:rsidRDefault="00DF55EC">
                        <w:pPr>
                          <w:rPr>
                            <w:rFonts w:asciiTheme="minorHAnsi" w:hAnsiTheme="minorHAnsi" w:cstheme="minorBidi"/>
                            <w:sz w:val="22"/>
                            <w:szCs w:val="22"/>
                          </w:rPr>
                        </w:pPr>
                      </w:p>
                    </w:tc>
                  </w:tr>
                </w:tbl>
                <w:p w:rsidR="00DF55EC" w:rsidRDefault="00DF55EC">
                  <w:pPr>
                    <w:rPr>
                      <w:rFonts w:asciiTheme="minorHAnsi" w:hAnsiTheme="minorHAnsi" w:cstheme="minorBidi"/>
                      <w:sz w:val="22"/>
                      <w:szCs w:val="22"/>
                    </w:rPr>
                  </w:pPr>
                </w:p>
              </w:tc>
            </w:tr>
            <w:tr w:rsidR="00DF55EC">
              <w:trPr>
                <w:tblCellSpacing w:w="0" w:type="dxa"/>
                <w:jc w:val="center"/>
              </w:trPr>
              <w:tc>
                <w:tcPr>
                  <w:tcW w:w="5000" w:type="pct"/>
                  <w:tcMar>
                    <w:top w:w="15" w:type="dxa"/>
                    <w:left w:w="15" w:type="dxa"/>
                    <w:bottom w:w="15" w:type="dxa"/>
                    <w:right w:w="15" w:type="dxa"/>
                  </w:tcMar>
                  <w:vAlign w:val="center"/>
                  <w:hideMark/>
                </w:tcPr>
                <w:p w:rsidR="00DF55EC" w:rsidRDefault="00DF55EC">
                  <w:pPr>
                    <w:rPr>
                      <w:rFonts w:asciiTheme="minorHAnsi" w:hAnsiTheme="minorHAnsi" w:cstheme="minorBidi"/>
                      <w:sz w:val="22"/>
                      <w:szCs w:val="22"/>
                    </w:rPr>
                  </w:pPr>
                </w:p>
              </w:tc>
            </w:tr>
          </w:tbl>
          <w:p w:rsidR="00DF55EC" w:rsidRDefault="00DF55EC">
            <w:pPr>
              <w:jc w:val="center"/>
              <w:rPr>
                <w:rFonts w:asciiTheme="minorHAnsi" w:hAnsiTheme="minorHAnsi" w:cstheme="minorBidi"/>
                <w:sz w:val="22"/>
                <w:szCs w:val="22"/>
              </w:rPr>
            </w:pPr>
          </w:p>
        </w:tc>
      </w:tr>
    </w:tbl>
    <w:p w:rsidR="00DF55EC" w:rsidRDefault="00DF55EC" w:rsidP="00DF55EC">
      <w:pPr>
        <w:spacing w:before="100" w:beforeAutospacing="1" w:after="100" w:afterAutospacing="1"/>
      </w:pPr>
      <w:r>
        <w:rPr>
          <w:rFonts w:ascii="Calibri" w:hAnsi="Calibri" w:cs="Calibri"/>
          <w:sz w:val="22"/>
          <w:szCs w:val="22"/>
        </w:rPr>
        <w:lastRenderedPageBreak/>
        <w:t> </w:t>
      </w:r>
    </w:p>
    <w:p w:rsidR="006B6F79" w:rsidRDefault="006B6F79"/>
    <w:sectPr w:rsidR="006B6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5EC"/>
    <w:rsid w:val="0001474D"/>
    <w:rsid w:val="0040417E"/>
    <w:rsid w:val="006B6F79"/>
    <w:rsid w:val="00892894"/>
    <w:rsid w:val="00AB5556"/>
    <w:rsid w:val="00C936C8"/>
    <w:rsid w:val="00DF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5E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55EC"/>
    <w:rPr>
      <w:color w:val="0000FF"/>
      <w:u w:val="single"/>
    </w:rPr>
  </w:style>
  <w:style w:type="paragraph" w:styleId="NormalWeb">
    <w:name w:val="Normal (Web)"/>
    <w:basedOn w:val="Normal"/>
    <w:uiPriority w:val="99"/>
    <w:unhideWhenUsed/>
    <w:rsid w:val="00DF55EC"/>
    <w:pPr>
      <w:spacing w:before="100" w:beforeAutospacing="1" w:after="100" w:afterAutospacing="1"/>
    </w:pPr>
  </w:style>
  <w:style w:type="paragraph" w:styleId="BalloonText">
    <w:name w:val="Balloon Text"/>
    <w:basedOn w:val="Normal"/>
    <w:link w:val="BalloonTextChar"/>
    <w:uiPriority w:val="99"/>
    <w:semiHidden/>
    <w:unhideWhenUsed/>
    <w:rsid w:val="00DF55EC"/>
    <w:rPr>
      <w:rFonts w:ascii="Tahoma" w:hAnsi="Tahoma" w:cs="Tahoma"/>
      <w:sz w:val="16"/>
      <w:szCs w:val="16"/>
    </w:rPr>
  </w:style>
  <w:style w:type="character" w:customStyle="1" w:styleId="BalloonTextChar">
    <w:name w:val="Balloon Text Char"/>
    <w:basedOn w:val="DefaultParagraphFont"/>
    <w:link w:val="BalloonText"/>
    <w:uiPriority w:val="99"/>
    <w:semiHidden/>
    <w:rsid w:val="00DF55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5E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55EC"/>
    <w:rPr>
      <w:color w:val="0000FF"/>
      <w:u w:val="single"/>
    </w:rPr>
  </w:style>
  <w:style w:type="paragraph" w:styleId="NormalWeb">
    <w:name w:val="Normal (Web)"/>
    <w:basedOn w:val="Normal"/>
    <w:uiPriority w:val="99"/>
    <w:unhideWhenUsed/>
    <w:rsid w:val="00DF55EC"/>
    <w:pPr>
      <w:spacing w:before="100" w:beforeAutospacing="1" w:after="100" w:afterAutospacing="1"/>
    </w:pPr>
  </w:style>
  <w:style w:type="paragraph" w:styleId="BalloonText">
    <w:name w:val="Balloon Text"/>
    <w:basedOn w:val="Normal"/>
    <w:link w:val="BalloonTextChar"/>
    <w:uiPriority w:val="99"/>
    <w:semiHidden/>
    <w:unhideWhenUsed/>
    <w:rsid w:val="00DF55EC"/>
    <w:rPr>
      <w:rFonts w:ascii="Tahoma" w:hAnsi="Tahoma" w:cs="Tahoma"/>
      <w:sz w:val="16"/>
      <w:szCs w:val="16"/>
    </w:rPr>
  </w:style>
  <w:style w:type="character" w:customStyle="1" w:styleId="BalloonTextChar">
    <w:name w:val="Balloon Text Char"/>
    <w:basedOn w:val="DefaultParagraphFont"/>
    <w:link w:val="BalloonText"/>
    <w:uiPriority w:val="99"/>
    <w:semiHidden/>
    <w:rsid w:val="00DF5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r20.rs6.net/tn.jsp?llr=tpavj6dab&amp;et=1103846199194&amp;s=0&amp;e=001iVTGwlFZAduE6muVdOFRUMtzdKNqB2RIX-X1JgJQl9XAWNO9K4lQ8lGkQM0L4P3qwPeaB5z8sVjpQRCzhR5Se4cZflW47l4t0XkvTzKU_ZrW9cHPINc3EbhLRMwJFAb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20.rs6.net/tn.jsp?llr=tpavj6dab&amp;et=1103846199194&amp;s=0&amp;e=001iVTGwlFZAduE6muVdOFRUMtzdKNqB2RIX-X1JgJQl9XAWNO9K4lQ8lGkQM0L4P3qwPeaB5z8sVjpQRCzhR5Se4cZflW47l4t0XkvTzKU_ZrW9cHPINc3EbhLRMwJFAbB" TargetMode="External"/><Relationship Id="rId11" Type="http://schemas.openxmlformats.org/officeDocument/2006/relationships/theme" Target="theme/theme1.xml"/><Relationship Id="rId5" Type="http://schemas.openxmlformats.org/officeDocument/2006/relationships/hyperlink" Target="http://www.cancentra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jpg@01CC3584.62FB18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Day</dc:creator>
  <cp:lastModifiedBy>Jenny Day</cp:lastModifiedBy>
  <cp:revision>3</cp:revision>
  <cp:lastPrinted>2013-09-09T16:38:00Z</cp:lastPrinted>
  <dcterms:created xsi:type="dcterms:W3CDTF">2013-09-09T16:26:00Z</dcterms:created>
  <dcterms:modified xsi:type="dcterms:W3CDTF">2013-09-09T17:03:00Z</dcterms:modified>
</cp:coreProperties>
</file>